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>na dostawę artykułów spożywczych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14.06.2019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b) e-mailem na adres </w:t>
      </w:r>
      <w:r>
        <w:rPr>
          <w:rFonts w:ascii="Arial" w:hAnsi="Arial"/>
          <w:i/>
          <w:iCs/>
          <w:sz w:val="24"/>
          <w:szCs w:val="24"/>
          <w:u w:val="single"/>
        </w:rPr>
        <w:t>pogotowieopiekuncze@wp.pl</w:t>
      </w:r>
      <w:r>
        <w:rPr>
          <w:rFonts w:ascii="Arial" w:hAnsi="Arial"/>
          <w:sz w:val="24"/>
          <w:szCs w:val="24"/>
        </w:rPr>
        <w:t xml:space="preserve"> ,dosyłając w ciągu 3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 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artykułów spożywczych”.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3. Asortyment artykułów spożywczych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asortymentowego.                  W przypadku braku wypełnienia pozycji w pakiecie asortymentowym oferta Wykonawcy nie będzie podlegała ocenie i zostanie odrzucona jako niezgodna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produktów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produktami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  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31.01.2020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22.05.201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>9</w:t>
      </w:r>
      <w:r>
        <w:rPr>
          <w:rFonts w:ascii="Arial" w:hAnsi="Arial"/>
          <w:b w:val="false"/>
          <w:bCs w:val="false"/>
          <w:i/>
          <w:iCs/>
          <w:sz w:val="20"/>
          <w:szCs w:val="20"/>
        </w:rPr>
        <w:t xml:space="preserve">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LibreOffice/5.2.4.2$Windows_X86_64 LibreOffice_project/3d5603e1122f0f102b62521720ab13a38a4e0eb0</Application>
  <Pages>2</Pages>
  <Words>374</Words>
  <Characters>2379</Characters>
  <CharactersWithSpaces>2862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2019-05-22T09:54:14Z</cp:lastPrinted>
  <dcterms:modified xsi:type="dcterms:W3CDTF">2019-05-22T09:54:16Z</dcterms:modified>
  <cp:revision>14</cp:revision>
  <dc:subject/>
  <dc:title/>
</cp:coreProperties>
</file>