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na dostawę produktów mrożonych oraz ryb 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12.11.2018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b) e-mailem na adres </w:t>
      </w:r>
      <w:r>
        <w:rPr>
          <w:rFonts w:ascii="Arial" w:hAnsi="Arial"/>
          <w:i/>
          <w:iCs/>
          <w:sz w:val="24"/>
          <w:szCs w:val="24"/>
          <w:u w:val="single"/>
        </w:rPr>
        <w:t>pogotowieopiekuncze@wp.pl</w:t>
      </w:r>
      <w:r>
        <w:rPr>
          <w:rFonts w:ascii="Arial" w:hAnsi="Arial"/>
          <w:sz w:val="24"/>
          <w:szCs w:val="24"/>
        </w:rPr>
        <w:t xml:space="preserve"> ,dosyłając w ciągu 3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 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produktów mrożonych oraz ryb ”.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produktów mrożonych oraz ryb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asortymentowego.                  W przypadku braku wypełnienia pozycji w pakiecie asortymentowym oferta Wykonawcy nie będzie podlegała ocenie i zostanie odrzucona jako niezgodna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produktów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produktami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  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31.06.2019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29.10.2018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LibreOffice/5.2.4.2$Windows_X86_64 LibreOffice_project/3d5603e1122f0f102b62521720ab13a38a4e0eb0</Application>
  <Pages>2</Pages>
  <Words>381</Words>
  <Characters>2394</Characters>
  <CharactersWithSpaces>2884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2018-10-29T14:09:54Z</dcterms:modified>
  <cp:revision>10</cp:revision>
  <dc:subject/>
  <dc:title/>
</cp:coreProperties>
</file>